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83EEFC">
      <w:pPr>
        <w:pStyle w:val="5"/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720" w:lineRule="auto"/>
        <w:jc w:val="center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智能质检操作说明——学生端</w:t>
      </w:r>
    </w:p>
    <w:p w14:paraId="194588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b w:val="0"/>
          <w:bCs w:val="0"/>
          <w:lang w:val="en-US" w:eastAsia="zh-CN"/>
        </w:rPr>
      </w:pPr>
      <w:r>
        <w:rPr>
          <w:rFonts w:ascii="宋体" w:hAnsi="宋体" w:eastAsia="宋体" w:cs="宋体"/>
          <w:b w:val="0"/>
          <w:bCs w:val="0"/>
          <w:sz w:val="28"/>
          <w:szCs w:val="28"/>
        </w:rPr>
        <w:t>智能质检可精准提炼论文核心问题、优势与不足，自动匹配各省厅评阅体系，从专家视角开展多维度评估，输出综合评分与优化建议；同时智能检测撰写规范、逻辑结构、创新性与语言表达，实现全校论文全覆盖质检与风险预警，全面提升论文整体质量。</w:t>
      </w:r>
    </w:p>
    <w:p w14:paraId="25331EB7">
      <w:pPr>
        <w:pStyle w:val="5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720" w:lineRule="auto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bookmarkStart w:id="0" w:name="_Toc30517"/>
      <w:r>
        <w:rPr>
          <w:rFonts w:hint="eastAsia" w:ascii="宋体" w:hAnsi="宋体" w:eastAsia="宋体" w:cs="宋体"/>
          <w:b/>
          <w:bCs/>
          <w:lang w:val="en-US" w:eastAsia="zh-CN"/>
        </w:rPr>
        <w:t>提交</w:t>
      </w:r>
      <w:bookmarkEnd w:id="0"/>
      <w:r>
        <w:rPr>
          <w:rFonts w:hint="eastAsia" w:ascii="宋体" w:hAnsi="宋体" w:eastAsia="宋体" w:cs="宋体"/>
          <w:b/>
          <w:bCs/>
          <w:lang w:val="en-US" w:eastAsia="zh-CN"/>
        </w:rPr>
        <w:t>智能质检</w:t>
      </w:r>
    </w:p>
    <w:p w14:paraId="033F8771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FF0000"/>
          <w:sz w:val="28"/>
          <w:szCs w:val="28"/>
          <w:lang w:val="en-US" w:eastAsia="zh-CN"/>
        </w:rPr>
        <w:t>提示：建议在论文查重检测、格式检测、AIGC检测均符合学校要求的情况下触发智能质检，否则智能质检报告将标识相关结果不合格。</w:t>
      </w:r>
    </w:p>
    <w:p w14:paraId="25468562">
      <w:pPr>
        <w:pStyle w:val="9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学生在【答辩前论文/答辩后终稿】环节选择提交智能质检 → 选择免费检测或自费检测</w:t>
      </w:r>
    </w:p>
    <w:p w14:paraId="0D5B464B">
      <w:pPr>
        <w:pStyle w:val="9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</w:rPr>
      </w:pPr>
      <w:r>
        <w:drawing>
          <wp:inline distT="0" distB="0" distL="114300" distR="114300">
            <wp:extent cx="5258435" cy="1356360"/>
            <wp:effectExtent l="0" t="0" r="14605" b="0"/>
            <wp:docPr id="8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58435" cy="1356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FF0985">
      <w:pPr>
        <w:pStyle w:val="9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宋体" w:hAnsi="宋体" w:eastAsia="宋体" w:cs="宋体"/>
          <w:sz w:val="24"/>
          <w:szCs w:val="2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2"/>
          <w:lang w:val="en-US" w:eastAsia="zh-CN"/>
        </w:rPr>
        <w:t>已提交论文并完成学术规范检测图示</w:t>
      </w:r>
    </w:p>
    <w:p w14:paraId="67EF2C80">
      <w:pPr>
        <w:pStyle w:val="9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智能质检需要一定时间，请耐心等待检测。检测完成后，点击查看AI预估通过率和智能质检报告（AI预估通过率根据所在省份评议依据进行评判）。</w:t>
      </w:r>
    </w:p>
    <w:p w14:paraId="7BB26858">
      <w:pPr>
        <w:pStyle w:val="6"/>
        <w:keepNext w:val="0"/>
        <w:keepLines w:val="0"/>
        <w:widowControl/>
        <w:suppressLineNumbers w:val="0"/>
        <w:spacing w:before="0" w:beforeAutospacing="0" w:after="0" w:afterAutospacing="0"/>
        <w:ind w:left="0" w:firstLine="640" w:firstLineChars="200"/>
        <w:jc w:val="left"/>
        <w:rPr>
          <w:rFonts w:hint="default" w:ascii="宋体" w:hAnsi="宋体" w:cs="宋体"/>
          <w:color w:val="FF000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cs="宋体"/>
          <w:color w:val="FF0000"/>
          <w:kern w:val="2"/>
          <w:sz w:val="32"/>
          <w:szCs w:val="32"/>
          <w:lang w:val="en-US" w:eastAsia="zh-CN" w:bidi="ar-SA"/>
        </w:rPr>
        <w:t>注：论文同时进行学术规范检测和智能质检，如果智能质检检测失败则会显示学术规范检测也失败，检测次数退回账号，学生可点击【查看智能质检报告】根据检测失败原因进行修改论文。建议先进行学术规范检测再选择智能质检。</w:t>
      </w:r>
    </w:p>
    <w:p w14:paraId="689AAE79">
      <w:pPr>
        <w:pStyle w:val="6"/>
        <w:keepNext w:val="0"/>
        <w:keepLines w:val="0"/>
        <w:widowControl/>
        <w:suppressLineNumbers w:val="0"/>
        <w:spacing w:before="0" w:beforeAutospacing="0" w:after="0" w:afterAutospacing="0"/>
        <w:ind w:left="0" w:firstLine="560" w:firstLineChars="200"/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kern w:val="2"/>
          <w:sz w:val="28"/>
          <w:szCs w:val="28"/>
          <w:lang w:val="en-US" w:eastAsia="zh-CN" w:bidi="ar-SA"/>
        </w:rPr>
        <w:t>智能质检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检测失败主要有两个原因：一是</w:t>
      </w:r>
      <w:r>
        <w:rPr>
          <w:rFonts w:hint="eastAsia" w:ascii="宋体" w:hAnsi="宋体" w:cs="宋体"/>
          <w:kern w:val="2"/>
          <w:sz w:val="28"/>
          <w:szCs w:val="28"/>
          <w:lang w:val="en-US" w:eastAsia="zh-CN" w:bidi="ar-SA"/>
        </w:rPr>
        <w:t>论文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内容涉及政治敏感话题，出于合规要求，系统无法展示具体敏感词，</w:t>
      </w:r>
      <w:r>
        <w:rPr>
          <w:rFonts w:hint="eastAsia" w:ascii="宋体" w:hAnsi="宋体" w:cs="宋体"/>
          <w:kern w:val="2"/>
          <w:sz w:val="28"/>
          <w:szCs w:val="28"/>
          <w:lang w:val="en-US" w:eastAsia="zh-CN" w:bidi="ar-SA"/>
        </w:rPr>
        <w:t>学生需自行查找修改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；二是全文超过10万字，超出当前</w:t>
      </w:r>
      <w:r>
        <w:rPr>
          <w:rFonts w:hint="eastAsia" w:ascii="宋体" w:hAnsi="宋体" w:cs="宋体"/>
          <w:kern w:val="2"/>
          <w:sz w:val="28"/>
          <w:szCs w:val="28"/>
          <w:lang w:val="en-US" w:eastAsia="zh-CN" w:bidi="ar-SA"/>
        </w:rPr>
        <w:t>智能质检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的处理上限。建议精简篇幅，并确保内容符合学术规范与国家相关法规。</w:t>
      </w:r>
      <w:r>
        <w:drawing>
          <wp:inline distT="0" distB="0" distL="114300" distR="114300">
            <wp:extent cx="3419475" cy="1261110"/>
            <wp:effectExtent l="0" t="0" r="9525" b="381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419475" cy="1261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3458210" cy="1014095"/>
            <wp:effectExtent l="0" t="0" r="1270" b="698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458210" cy="1014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54C0E2">
      <w:pPr>
        <w:pStyle w:val="5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720" w:lineRule="auto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查看智能质检报告</w:t>
      </w:r>
    </w:p>
    <w:p w14:paraId="4F5BD627">
      <w:pPr>
        <w:pStyle w:val="9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如已提交检测，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学生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可在对应【答辩前论文</w:t>
      </w:r>
      <w:r>
        <w:rPr>
          <w:rFonts w:hint="eastAsia" w:ascii="宋体" w:hAnsi="宋体" w:cs="宋体"/>
          <w:sz w:val="28"/>
          <w:szCs w:val="28"/>
          <w:lang w:val="en-US" w:eastAsia="zh-CN"/>
        </w:rPr>
        <w:t>-查看论文评阅记录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/答辩后终稿】查看智能质检报告。</w:t>
      </w:r>
    </w:p>
    <w:p w14:paraId="7FEA9921">
      <w:pPr>
        <w:pStyle w:val="9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</w:rPr>
      </w:pPr>
      <w:r>
        <w:drawing>
          <wp:inline distT="0" distB="0" distL="114300" distR="114300">
            <wp:extent cx="4952365" cy="1007745"/>
            <wp:effectExtent l="0" t="0" r="635" b="13335"/>
            <wp:docPr id="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52365" cy="1007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9C7F4D">
      <w:pPr>
        <w:pStyle w:val="2"/>
        <w:ind w:left="0" w:leftChars="0"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AI预估通过率</w:t>
      </w:r>
      <w:r>
        <w:rPr>
          <w:rFonts w:hint="eastAsia" w:ascii="宋体" w:hAnsi="宋体" w:cs="宋体"/>
          <w:sz w:val="28"/>
          <w:szCs w:val="28"/>
          <w:lang w:val="en-US" w:eastAsia="zh-CN"/>
        </w:rPr>
        <w:t>下面的文字内容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为学术规范检测结果</w:t>
      </w:r>
    </w:p>
    <w:p w14:paraId="48955E87">
      <w:pPr>
        <w:pStyle w:val="9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①学术规范检测通过，即学生论文学术规范检测在智能质检提交时论文的状态</w:t>
      </w:r>
    </w:p>
    <w:p w14:paraId="6CC9776E">
      <w:pPr>
        <w:pStyle w:val="9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②一票否决-学术不端，即学生论文学术规范检测未达到学校要求,</w:t>
      </w:r>
    </w:p>
    <w:p w14:paraId="032E1F06">
      <w:pPr>
        <w:pStyle w:val="9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③学术规范存在未检测，即学生论文暂</w:t>
      </w:r>
      <w:r>
        <w:rPr>
          <w:rFonts w:hint="eastAsia" w:ascii="宋体" w:hAnsi="宋体" w:cs="宋体"/>
          <w:kern w:val="2"/>
          <w:sz w:val="28"/>
          <w:szCs w:val="28"/>
          <w:lang w:val="en-US" w:eastAsia="zh-CN" w:bidi="ar-SA"/>
        </w:rPr>
        <w:t>无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学术规范</w:t>
      </w:r>
      <w:r>
        <w:rPr>
          <w:rFonts w:hint="eastAsia" w:ascii="宋体" w:hAnsi="宋体" w:cs="宋体"/>
          <w:kern w:val="2"/>
          <w:sz w:val="28"/>
          <w:szCs w:val="28"/>
          <w:lang w:val="en-US" w:eastAsia="zh-CN" w:bidi="ar-SA"/>
        </w:rPr>
        <w:t>检测结果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，学生进行学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术规范检测后，智能质检报告也会更新</w:t>
      </w:r>
    </w:p>
    <w:p w14:paraId="1BF63002">
      <w:pPr>
        <w:pStyle w:val="9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点击智能质检简版报告，查看整体检测结果。</w:t>
      </w:r>
    </w:p>
    <w:p w14:paraId="0395653C">
      <w:pPr>
        <w:pStyle w:val="9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drawing>
          <wp:inline distT="0" distB="0" distL="114300" distR="114300">
            <wp:extent cx="5265420" cy="1329055"/>
            <wp:effectExtent l="0" t="0" r="7620" b="12065"/>
            <wp:docPr id="7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1329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22D897">
      <w:pPr>
        <w:pStyle w:val="9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8"/>
          <w:szCs w:val="28"/>
        </w:rPr>
        <w:drawing>
          <wp:inline distT="0" distB="0" distL="114300" distR="114300">
            <wp:extent cx="5269230" cy="1541145"/>
            <wp:effectExtent l="0" t="0" r="3810" b="13335"/>
            <wp:docPr id="16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1541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7213EF">
      <w:pPr>
        <w:pStyle w:val="9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宋体" w:hAnsi="宋体" w:eastAsia="宋体" w:cs="宋体"/>
          <w:sz w:val="24"/>
          <w:szCs w:val="24"/>
          <w:lang w:val="en-US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点击智能质检</w:t>
      </w:r>
      <w:r>
        <w:rPr>
          <w:rFonts w:hint="eastAsia" w:ascii="宋体" w:hAnsi="宋体" w:cs="宋体"/>
          <w:sz w:val="28"/>
          <w:szCs w:val="28"/>
          <w:lang w:val="en-US" w:eastAsia="zh-CN"/>
        </w:rPr>
        <w:t>详细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报告，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查看论文核心问题与建议以及文后参考文献情况</w:t>
      </w:r>
    </w:p>
    <w:p w14:paraId="2D38F04E">
      <w:r>
        <w:drawing>
          <wp:inline distT="0" distB="0" distL="114300" distR="114300">
            <wp:extent cx="5256530" cy="1885315"/>
            <wp:effectExtent l="0" t="0" r="1270" b="4445"/>
            <wp:docPr id="22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56530" cy="1885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8526BA">
      <w:pPr>
        <w:pStyle w:val="2"/>
        <w:ind w:left="0" w:leftChars="0" w:firstLine="0" w:firstLineChars="0"/>
      </w:pPr>
      <w:r>
        <w:drawing>
          <wp:inline distT="0" distB="0" distL="114300" distR="114300">
            <wp:extent cx="5269230" cy="1836420"/>
            <wp:effectExtent l="0" t="0" r="3810" b="7620"/>
            <wp:docPr id="24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1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1836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88A12D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240" w:firstLineChars="10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cs="宋体"/>
          <w:color w:val="FF0000"/>
          <w:kern w:val="2"/>
          <w:sz w:val="24"/>
          <w:szCs w:val="24"/>
          <w:lang w:val="en-US" w:eastAsia="zh-CN" w:bidi="ar-SA"/>
        </w:rPr>
        <w:t xml:space="preserve">* 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智能质</w:t>
      </w:r>
      <w:bookmarkStart w:id="1" w:name="_GoBack"/>
      <w:bookmarkEnd w:id="1"/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检不是“终极审判官”，而是基于现有数据和算法的分析结果，是帮助学生自查、为导师/专家提供参考的辅助工具</w:t>
      </w:r>
    </w:p>
    <w:sectPr>
      <w:pgSz w:w="11906" w:h="16838"/>
      <w:pgMar w:top="1134" w:right="1800" w:bottom="1134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0AB4C7D"/>
    <w:multiLevelType w:val="singleLevel"/>
    <w:tmpl w:val="C0AB4C7D"/>
    <w:lvl w:ilvl="0" w:tentative="0">
      <w:start w:val="1"/>
      <w:numFmt w:val="chineseCounting"/>
      <w:suff w:val="nothing"/>
      <w:lvlText w:val="%1、"/>
      <w:lvlJc w:val="left"/>
      <w:pPr>
        <w:ind w:left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047696"/>
    <w:rsid w:val="0A49127D"/>
    <w:rsid w:val="23721D27"/>
    <w:rsid w:val="2C3B3C5A"/>
    <w:rsid w:val="30047696"/>
    <w:rsid w:val="473B1C37"/>
    <w:rsid w:val="5A137B38"/>
    <w:rsid w:val="5B503CBD"/>
    <w:rsid w:val="686B65B5"/>
    <w:rsid w:val="7B876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eastAsia="宋体" w:asciiTheme="minorAscii" w:hAnsiTheme="minorAscii" w:cstheme="minorBidi"/>
      <w:kern w:val="2"/>
      <w:sz w:val="28"/>
      <w:szCs w:val="24"/>
      <w:lang w:val="en-US" w:eastAsia="zh-CN" w:bidi="ar-SA"/>
    </w:rPr>
  </w:style>
  <w:style w:type="paragraph" w:styleId="5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36"/>
      <w:szCs w:val="44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next w:val="4"/>
    <w:qFormat/>
    <w:uiPriority w:val="0"/>
    <w:pPr>
      <w:ind w:left="420"/>
    </w:p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780</Words>
  <Characters>788</Characters>
  <Lines>0</Lines>
  <Paragraphs>0</Paragraphs>
  <TotalTime>6</TotalTime>
  <ScaleCrop>false</ScaleCrop>
  <LinksUpToDate>false</LinksUpToDate>
  <CharactersWithSpaces>791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2025-11-28T03:45:00Z</dcterms:created>
  <dc:creator>格子达</dc:creator>
  <cp:lastModifiedBy>格子达</cp:lastModifiedBy>
  <dcterms:modified xsi:type="dcterms:W3CDTF">2026-03-11T06:34:02Z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F8A9175877164F28B28E2F4A3A9FEBF2_13</vt:lpwstr>
  </property>
  <property fmtid="{D5CDD505-2E9C-101B-9397-08002B2CF9AE}" pid="4" name="KSOTemplateDocerSaveRecord">
    <vt:lpwstr>eyJoZGlkIjoiYzViY2RhYzE2NmQ5OWU3MjFiMWJhOTNmNzA0ZGYwNzgiLCJ1c2VySWQiOiIzMDAyMDM3MTcifQ==</vt:lpwstr>
  </property>
</Properties>
</file>